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6E1C58AA"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AC736E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46FF041"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40C88D9B" w:rsidR="000A2833" w:rsidRPr="00455A3C" w:rsidRDefault="0018797C" w:rsidP="00AC35C4">
      <w:pPr>
        <w:pStyle w:val="F2-zkladn"/>
        <w:tabs>
          <w:tab w:val="right" w:pos="9070"/>
        </w:tabs>
      </w:pPr>
      <w:r>
        <w:rPr>
          <w:noProof/>
        </w:rPr>
        <mc:AlternateContent>
          <mc:Choice Requires="wps">
            <w:drawing>
              <wp:inline distT="0" distB="0" distL="0" distR="0" wp14:anchorId="69E119FC" wp14:editId="0CDB8B15">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1D3202"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C06BBC">
        <w:t>23</w:t>
      </w:r>
      <w:r w:rsidR="00A30105" w:rsidRPr="00455A3C">
        <w:t xml:space="preserve">. </w:t>
      </w:r>
      <w:r w:rsidR="00534D3B">
        <w:t>února</w:t>
      </w:r>
      <w:r w:rsidR="00A30105" w:rsidRPr="00455A3C">
        <w:t xml:space="preserve"> 20</w:t>
      </w:r>
      <w:r w:rsidR="00A7414F" w:rsidRPr="00455A3C">
        <w:t>2</w:t>
      </w:r>
      <w:r w:rsidR="00534D3B">
        <w:t>2</w:t>
      </w:r>
    </w:p>
    <w:p w14:paraId="06416E19" w14:textId="59D0B979" w:rsidR="000C727D" w:rsidRDefault="000C727D" w:rsidP="00303102">
      <w:pPr>
        <w:spacing w:after="120"/>
        <w:rPr>
          <w:b/>
          <w:sz w:val="28"/>
          <w:szCs w:val="28"/>
        </w:rPr>
      </w:pPr>
    </w:p>
    <w:p w14:paraId="563CBE10" w14:textId="008D3ED3" w:rsidR="00303102" w:rsidRPr="00303102" w:rsidRDefault="00ED0F0B" w:rsidP="00611687">
      <w:pPr>
        <w:spacing w:after="120"/>
        <w:rPr>
          <w:b/>
          <w:sz w:val="28"/>
          <w:szCs w:val="28"/>
        </w:rPr>
      </w:pPr>
      <w:r w:rsidRPr="00ED0F0B">
        <w:rPr>
          <w:b/>
          <w:sz w:val="28"/>
          <w:szCs w:val="28"/>
        </w:rPr>
        <w:t xml:space="preserve">Fidelity International: </w:t>
      </w:r>
      <w:r w:rsidR="00C06BBC">
        <w:rPr>
          <w:b/>
          <w:sz w:val="28"/>
          <w:szCs w:val="28"/>
        </w:rPr>
        <w:t>Růst sazeb není vždy špatný, pokud máte strategie s nízkou volatilitou</w:t>
      </w:r>
    </w:p>
    <w:p w14:paraId="136DCACD" w14:textId="5F398500" w:rsidR="00C06BBC" w:rsidRPr="00C06BBC" w:rsidRDefault="00C06BBC" w:rsidP="00C06BBC">
      <w:pPr>
        <w:rPr>
          <w:rFonts w:asciiTheme="minorHAnsi" w:hAnsiTheme="minorHAnsi" w:cstheme="minorHAnsi"/>
          <w:b/>
          <w:color w:val="000000" w:themeColor="text1"/>
          <w:sz w:val="24"/>
          <w:szCs w:val="24"/>
        </w:rPr>
      </w:pPr>
      <w:r w:rsidRPr="00C06BBC">
        <w:rPr>
          <w:rFonts w:asciiTheme="minorHAnsi" w:hAnsiTheme="minorHAnsi" w:cstheme="minorHAnsi"/>
          <w:b/>
          <w:color w:val="000000" w:themeColor="text1"/>
          <w:sz w:val="24"/>
          <w:szCs w:val="24"/>
        </w:rPr>
        <w:t>Základní pravidla jsou</w:t>
      </w:r>
      <w:r>
        <w:rPr>
          <w:rFonts w:asciiTheme="minorHAnsi" w:hAnsiTheme="minorHAnsi" w:cstheme="minorHAnsi"/>
          <w:b/>
          <w:color w:val="000000" w:themeColor="text1"/>
          <w:sz w:val="24"/>
          <w:szCs w:val="24"/>
        </w:rPr>
        <w:t xml:space="preserve"> atraktivní</w:t>
      </w:r>
      <w:r w:rsidRPr="00C06BBC">
        <w:rPr>
          <w:rFonts w:asciiTheme="minorHAnsi" w:hAnsiTheme="minorHAnsi" w:cstheme="minorHAnsi"/>
          <w:b/>
          <w:color w:val="000000" w:themeColor="text1"/>
          <w:sz w:val="24"/>
          <w:szCs w:val="24"/>
        </w:rPr>
        <w:t>, ale to neznamená, že vždy fungují. Například rostoucí výnosy dluhopisů neznamenají automaticky špatnou zprávu pro strategie s nízkou volatilitou; pochopení proč však vyžaduje bližší pohled na síly, které pohánějí každý cyklus zvyšování sazeb.</w:t>
      </w:r>
    </w:p>
    <w:p w14:paraId="57477696" w14:textId="2D7232AA" w:rsidR="00C06BBC" w:rsidRDefault="00C06BBC" w:rsidP="00C06BBC">
      <w:r>
        <w:rPr>
          <w:noProof/>
        </w:rPr>
        <w:drawing>
          <wp:anchor distT="0" distB="0" distL="114300" distR="114300" simplePos="0" relativeHeight="251661312" behindDoc="0" locked="0" layoutInCell="1" allowOverlap="1" wp14:anchorId="23E9275B" wp14:editId="7008CA22">
            <wp:simplePos x="0" y="0"/>
            <wp:positionH relativeFrom="margin">
              <wp:posOffset>-1270</wp:posOffset>
            </wp:positionH>
            <wp:positionV relativeFrom="paragraph">
              <wp:posOffset>1653540</wp:posOffset>
            </wp:positionV>
            <wp:extent cx="5759450" cy="3225165"/>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 rising rates.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225165"/>
                    </a:xfrm>
                    <a:prstGeom prst="rect">
                      <a:avLst/>
                    </a:prstGeom>
                  </pic:spPr>
                </pic:pic>
              </a:graphicData>
            </a:graphic>
          </wp:anchor>
        </w:drawing>
      </w:r>
      <w:r>
        <w:t xml:space="preserve">Jedním z běžných předpokladů u investičních strategiích s nízkou volatilitou je, že v období růstu úrokových sazeb budou mít nižší výkonnost. Důvodem je jejich časté zaměření na defenzivní sektory citlivé na úrokové sazby, jako jsou zdravotnictví, telekomunikace, základní spotřební zboží a v poslední době také technologie. To však není vždy pravda. Vzhledem k tomu, že americký Federální rezervní systém očekává nové kolo zvyšování úrokových sazeb, stojí za to podívat se, co se stalo při posledním cyklu. Historická výkonnost indexu minimální volatility MSCI World ve srovnání s indexem MSCI World během posledních dvou cyklů zvyšování úrokových sazeb v USA totiž ukazuje rozmanitější obrázek. </w:t>
      </w:r>
    </w:p>
    <w:p w14:paraId="175C3896" w14:textId="7DF7FB57" w:rsidR="00C06BBC" w:rsidRPr="00C06BBC" w:rsidRDefault="00C06BBC" w:rsidP="00C06BBC">
      <w:pPr>
        <w:pStyle w:val="F2-zkladn"/>
      </w:pPr>
    </w:p>
    <w:p w14:paraId="7C974CB6" w14:textId="77777777" w:rsidR="00C06BBC" w:rsidRDefault="00C06BBC" w:rsidP="0057387E">
      <w:pPr>
        <w:shd w:val="clear" w:color="auto" w:fill="FFFFFF"/>
        <w:spacing w:line="240" w:lineRule="auto"/>
      </w:pPr>
    </w:p>
    <w:p w14:paraId="5366D98D" w14:textId="77777777" w:rsidR="00C06BBC" w:rsidRDefault="00C06BBC" w:rsidP="00C06BBC">
      <w:r w:rsidRPr="00520AF4">
        <w:lastRenderedPageBreak/>
        <w:t>V rozporu s tradičními představami index "Min</w:t>
      </w:r>
      <w:r>
        <w:t>imální</w:t>
      </w:r>
      <w:r w:rsidRPr="00520AF4">
        <w:t xml:space="preserve"> Vol</w:t>
      </w:r>
      <w:r>
        <w:t>atility</w:t>
      </w:r>
      <w:r w:rsidRPr="00520AF4">
        <w:t>"</w:t>
      </w:r>
      <w:r>
        <w:t xml:space="preserve"> (Min Vol)</w:t>
      </w:r>
      <w:r w:rsidRPr="00520AF4">
        <w:t xml:space="preserve"> ve skutečnosti dosahoval lepších výsledků v počáteční a střední fázi cyklu růstu</w:t>
      </w:r>
      <w:r>
        <w:t xml:space="preserve">, tedy v letech 2004-2005, než </w:t>
      </w:r>
      <w:r w:rsidRPr="00520AF4">
        <w:t xml:space="preserve">ke konci </w:t>
      </w:r>
      <w:r>
        <w:t xml:space="preserve">růstového </w:t>
      </w:r>
      <w:r w:rsidRPr="00520AF4">
        <w:t>cyklu. Naproti tom</w:t>
      </w:r>
      <w:r>
        <w:t xml:space="preserve">u při </w:t>
      </w:r>
      <w:r w:rsidRPr="00520AF4">
        <w:t xml:space="preserve">růstu v letech 2016-2018 dosahoval </w:t>
      </w:r>
      <w:r>
        <w:t xml:space="preserve">index </w:t>
      </w:r>
      <w:r w:rsidRPr="00520AF4">
        <w:t>horších výsledků.</w:t>
      </w:r>
    </w:p>
    <w:p w14:paraId="45E7D58C" w14:textId="5F3E31B3" w:rsidR="007B67AD" w:rsidRPr="00C06BBC" w:rsidRDefault="00C06BBC" w:rsidP="00C06BBC">
      <w:pPr>
        <w:spacing w:after="120"/>
        <w:rPr>
          <w:b/>
        </w:rPr>
      </w:pPr>
      <w:r>
        <w:rPr>
          <w:b/>
        </w:rPr>
        <w:t>Zlatý scénář</w:t>
      </w:r>
    </w:p>
    <w:p w14:paraId="1F4E4B22" w14:textId="77777777" w:rsidR="00C06BBC" w:rsidRDefault="00C06BBC" w:rsidP="00C06BBC">
      <w:r>
        <w:t>Proč ten rozdíl? Cyklus 2004-2005 byl poznamenaný soustavným zpřísňováním politiky, což pomohlo ukotvit dlouhodobé výnosy státních dluhopisů a index amerického dolaru. Pro globální akcie, včetně akcií s nízkou volatilitou, to byl zlatý scénář. Naopak v letech 2016-2018 se výnosy státních dluhopisů zhruba zdvojnásobily, zatímco reálné výnosy zůstaly stabilní. To odráželo růst inflace, který předstihl reálný růst. Výsledný "hon za růstem" vedl k horší výkonnosti u defenzivních sektorů. Co by tedy měli investoři očekávat od nadcházejícího cyklu zvyšování sazeb? Rozsáhlé zpřísňování měnové politiky je již v cenách trhů zakalkulováno. Existují však dobré důvody domnívat se, že vzhledem k dilematu jak z "Hlavy 22"</w:t>
      </w:r>
      <w:r w:rsidRPr="009F02B0">
        <w:t xml:space="preserve"> (</w:t>
      </w:r>
      <w:r>
        <w:t xml:space="preserve">označení </w:t>
      </w:r>
      <w:r w:rsidRPr="009F02B0">
        <w:t>logicky neřešitelné situace)</w:t>
      </w:r>
      <w:r>
        <w:t>, kterému čelí centrální banky, existuje limit, kam až a jak rychle mohou úrokové sazby a výnosy dlouhodobých dluhopisů růst.</w:t>
      </w:r>
    </w:p>
    <w:p w14:paraId="5B086C3C" w14:textId="3CB04045" w:rsidR="00C06BBC" w:rsidRDefault="00C06BBC" w:rsidP="00C06BBC">
      <w:r w:rsidRPr="009F02B0">
        <w:t xml:space="preserve">Jak zde vysvětluje Andrew </w:t>
      </w:r>
      <w:proofErr w:type="spellStart"/>
      <w:r w:rsidRPr="009F02B0">
        <w:t>McCaffrey</w:t>
      </w:r>
      <w:proofErr w:type="spellEnd"/>
      <w:r w:rsidRPr="009F02B0">
        <w:t>, CIO společnosti Fidelity, růst HDP již zřejmě dosáhl svého vrcholu a ekonomiky jsou i nadále velmi citlivé na vyšší náklady financování v důsledku obrovského dluhového zatížení. Ačkoli tedy inflace zůstává problémem, je pravděpodobné, že cyklus zpřísňování nebude tak prudký, jak trhy očekávají. I v případě rychlého růstu sazeb budou různé typy "</w:t>
      </w:r>
      <w:proofErr w:type="spellStart"/>
      <w:r w:rsidRPr="009F02B0">
        <w:t>low</w:t>
      </w:r>
      <w:proofErr w:type="spellEnd"/>
      <w:r w:rsidRPr="009F02B0">
        <w:t xml:space="preserve"> vol" strategií reagovat různými způsoby. To bude zásadně záviset na tom, jak bude portfolio s nízkou volatilitou sestaveno a řízeno. Například </w:t>
      </w:r>
      <w:r>
        <w:t xml:space="preserve">při zahrnutí výzkumu </w:t>
      </w:r>
      <w:r w:rsidRPr="009F02B0">
        <w:t>zaměřeného na budoucnost by mohl</w:t>
      </w:r>
      <w:r w:rsidR="00781792">
        <w:t>o</w:t>
      </w:r>
      <w:r w:rsidR="004B4F84">
        <w:t xml:space="preserve"> </w:t>
      </w:r>
      <w:r w:rsidRPr="009F02B0">
        <w:t xml:space="preserve">pomoci se </w:t>
      </w:r>
      <w:r>
        <w:t xml:space="preserve">preventivně </w:t>
      </w:r>
      <w:r w:rsidRPr="009F02B0">
        <w:t>vyhnout akciím s rizikem</w:t>
      </w:r>
      <w:r w:rsidR="004B4F84">
        <w:t xml:space="preserve"> </w:t>
      </w:r>
      <w:r w:rsidR="004B4F84" w:rsidRPr="009F02B0">
        <w:t>rostoucí</w:t>
      </w:r>
      <w:r w:rsidR="004B4F84">
        <w:t xml:space="preserve">ch </w:t>
      </w:r>
      <w:r w:rsidRPr="009F02B0">
        <w:t>sazeb, zatímco sektorové složení dynamicky řízených strategií se bude v průběhu času měnit s tím, jak se budo</w:t>
      </w:r>
      <w:r>
        <w:t>u zmenšovat</w:t>
      </w:r>
      <w:r w:rsidRPr="009F02B0">
        <w:t xml:space="preserve"> části trhu</w:t>
      </w:r>
      <w:r>
        <w:t>, kde roste</w:t>
      </w:r>
      <w:r w:rsidRPr="009F02B0">
        <w:t xml:space="preserve"> volatilit</w:t>
      </w:r>
      <w:r>
        <w:t>a</w:t>
      </w:r>
      <w:r w:rsidRPr="009F02B0">
        <w:t>. Investoři mohou také zaujmout regionální přístup</w:t>
      </w:r>
      <w:r>
        <w:t xml:space="preserve"> – k</w:t>
      </w:r>
      <w:r w:rsidRPr="009F02B0">
        <w:t xml:space="preserve"> akciím s nízkou volatilitou se zaměřením na ty části světa jako je Evropa, kde existuje menší riziko růstu výnosů dluhopisů</w:t>
      </w:r>
      <w:r w:rsidR="00781792">
        <w:t>,</w:t>
      </w:r>
      <w:r>
        <w:t xml:space="preserve"> a to</w:t>
      </w:r>
      <w:r w:rsidRPr="009F02B0">
        <w:t xml:space="preserve"> pro konkrétní sektory s "nízkou volatilitou".</w:t>
      </w:r>
    </w:p>
    <w:p w14:paraId="277BA5CD" w14:textId="24FA0CBB" w:rsidR="00725052" w:rsidRPr="00BC4EF0" w:rsidRDefault="00725052" w:rsidP="00725052">
      <w:pPr>
        <w:spacing w:line="240" w:lineRule="auto"/>
      </w:pPr>
      <w:r w:rsidRPr="00455A3C">
        <w:rPr>
          <w:b/>
        </w:rPr>
        <w:t>Pro více informací kontaktujte:</w:t>
      </w:r>
    </w:p>
    <w:p w14:paraId="4D946650" w14:textId="46CEA880"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4A52B6"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812FE31" w14:textId="77777777" w:rsidR="00480E25" w:rsidRPr="00480E25" w:rsidRDefault="00480E25"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5322805B" w14:textId="605EEE72" w:rsidR="00221EE4" w:rsidRPr="00D404D5" w:rsidRDefault="00D404D5" w:rsidP="00D404D5">
      <w:pPr>
        <w:shd w:val="clear" w:color="auto" w:fill="FFFFFF"/>
        <w:spacing w:before="0" w:line="360" w:lineRule="atLeast"/>
        <w:rPr>
          <w:rFonts w:ascii="Open Sans" w:hAnsi="Open Sans" w:cs="Open Sans"/>
          <w:color w:val="333333"/>
          <w:spacing w:val="15"/>
          <w:sz w:val="21"/>
          <w:szCs w:val="21"/>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w:t>
      </w:r>
      <w:r w:rsidRPr="00D404D5">
        <w:rPr>
          <w:color w:val="000000"/>
          <w:lang w:eastAsia="en-US"/>
        </w:rPr>
        <w:lastRenderedPageBreak/>
        <w:t>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56CB95C2" w14:textId="5B3D1F12" w:rsidR="009C2E55" w:rsidRPr="009C2E55" w:rsidRDefault="00172511" w:rsidP="009C2E55">
      <w:pPr>
        <w:rPr>
          <w:b/>
          <w:bCs/>
        </w:rPr>
      </w:pPr>
      <w:r>
        <w:rPr>
          <w:b/>
          <w:bCs/>
        </w:rPr>
        <w:t>Důležité upozornění</w:t>
      </w:r>
    </w:p>
    <w:p w14:paraId="7EC493BC" w14:textId="77777777" w:rsidR="00781792" w:rsidRDefault="00781792" w:rsidP="00617E2A">
      <w:pPr>
        <w:pStyle w:val="Normlnweb"/>
        <w:shd w:val="clear" w:color="auto" w:fill="FFFFFF"/>
        <w:spacing w:before="0"/>
        <w:rPr>
          <w:color w:val="000000"/>
          <w:lang w:eastAsia="en-US"/>
        </w:rPr>
      </w:pPr>
    </w:p>
    <w:p w14:paraId="402D7545" w14:textId="5C4C862F" w:rsidR="00172511" w:rsidRDefault="00172511" w:rsidP="00617E2A">
      <w:pPr>
        <w:pStyle w:val="Normlnweb"/>
        <w:shd w:val="clear" w:color="auto" w:fill="FFFFFF"/>
        <w:spacing w:before="0"/>
        <w:rPr>
          <w:color w:val="000000"/>
          <w:lang w:eastAsia="en-US"/>
        </w:rPr>
      </w:pPr>
      <w:r>
        <w:rPr>
          <w:color w:val="000000"/>
          <w:lang w:eastAsia="en-US"/>
        </w:rPr>
        <w:t xml:space="preserve">Tento dokument nesmí být bez předchozího souhlasu rozmnožován nebo rozšiřován. </w:t>
      </w:r>
    </w:p>
    <w:p w14:paraId="55F30A84" w14:textId="77777777" w:rsidR="009C2E55" w:rsidRDefault="009C2E55" w:rsidP="00172511">
      <w:pPr>
        <w:pStyle w:val="Normlnweb"/>
        <w:shd w:val="clear" w:color="auto" w:fill="FFFFFF"/>
        <w:spacing w:before="0"/>
        <w:rPr>
          <w:lang w:eastAsia="en-US"/>
        </w:rPr>
      </w:pPr>
    </w:p>
    <w:p w14:paraId="2AF8B0EF" w14:textId="77777777" w:rsidR="00172511" w:rsidRDefault="00172511" w:rsidP="00172511">
      <w:pPr>
        <w:pStyle w:val="Normlnweb"/>
        <w:shd w:val="clear" w:color="auto" w:fill="FFFFFF"/>
        <w:spacing w:before="0" w:after="240"/>
        <w:rPr>
          <w:lang w:eastAsia="en-US"/>
        </w:rPr>
      </w:pPr>
      <w:r>
        <w:rPr>
          <w:color w:val="000000"/>
          <w:lang w:eastAsia="en-US"/>
        </w:rPr>
        <w:t xml:space="preserve">Fidelity International poskytuje informace pouze o svých produktech a neposkytuje investiční poradenství na základě individuálních potřeb, jinak než konkrétně řádně stanovené oprávněnou společností při formální komunikaci s klientem. </w:t>
      </w:r>
    </w:p>
    <w:p w14:paraId="21A884A3" w14:textId="77777777" w:rsidR="00172511" w:rsidRDefault="00172511" w:rsidP="00172511">
      <w:pPr>
        <w:pStyle w:val="Normlnweb"/>
        <w:shd w:val="clear" w:color="auto" w:fill="FFFFFF"/>
        <w:spacing w:before="0" w:after="240"/>
        <w:rPr>
          <w:lang w:eastAsia="en-US"/>
        </w:rPr>
      </w:pPr>
      <w:r>
        <w:rPr>
          <w:color w:val="000000"/>
          <w:lang w:eastAsia="en-US"/>
        </w:rPr>
        <w:t xml:space="preserve">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58F52373" w14:textId="77777777" w:rsidR="00172511" w:rsidRDefault="00172511" w:rsidP="00172511">
      <w:pPr>
        <w:pStyle w:val="Normlnweb"/>
        <w:shd w:val="clear" w:color="auto" w:fill="FFFFFF"/>
        <w:spacing w:before="0" w:after="240"/>
        <w:rPr>
          <w:lang w:eastAsia="en-US"/>
        </w:rPr>
      </w:pPr>
      <w:r>
        <w:rPr>
          <w:color w:val="000000"/>
          <w:lang w:eastAsia="en-US"/>
        </w:rPr>
        <w:t>Všechny názory představují stanoviska společnosti Fidelity, není-li uvedeno jinak. Fidelity, Fidelity International a logo Fidelity International a symbol měny F jsou všechno ochrannými známkami společnosti FIL Limited.</w:t>
      </w:r>
    </w:p>
    <w:p w14:paraId="4F5DE27F" w14:textId="26D7D6BB" w:rsidR="00172511" w:rsidRDefault="00172511" w:rsidP="00172511">
      <w:pPr>
        <w:pStyle w:val="Normlnweb"/>
        <w:shd w:val="clear" w:color="auto" w:fill="FFFFFF"/>
        <w:spacing w:before="0" w:after="240"/>
        <w:rPr>
          <w:lang w:eastAsia="en-US"/>
        </w:rPr>
      </w:pPr>
      <w:r>
        <w:rPr>
          <w:color w:val="000000"/>
          <w:lang w:eastAsia="en-US"/>
        </w:rPr>
        <w:t xml:space="preserve">Údaje nejsou auditované. Odborníci provádějící průzkum zahrnují společníky a analytiky.  Jakákoli prohlášení či vyjádření učiněná v tomto dokumentu nejsou pro společnost Fidelity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w:t>
      </w:r>
      <w:hyperlink r:id="rId11" w:history="1">
        <w:r>
          <w:rPr>
            <w:rStyle w:val="Hypertextovodkaz"/>
            <w:lang w:eastAsia="en-US"/>
          </w:rPr>
          <w:t>https://www.fidelityinternational.com</w:t>
        </w:r>
      </w:hyperlink>
      <w:r>
        <w:rPr>
          <w:color w:val="000000"/>
          <w:lang w:eastAsia="en-US"/>
        </w:rPr>
        <w:t xml:space="preserve"> nebo od našich </w:t>
      </w:r>
      <w:proofErr w:type="spellStart"/>
      <w:r>
        <w:rPr>
          <w:color w:val="000000"/>
          <w:lang w:eastAsia="en-US"/>
        </w:rPr>
        <w:t>distributořů</w:t>
      </w:r>
      <w:proofErr w:type="spellEnd"/>
      <w:r>
        <w:rPr>
          <w:color w:val="000000"/>
          <w:lang w:eastAsia="en-US"/>
        </w:rPr>
        <w:t xml:space="preserve"> a našeho evropského Centra služeb v Lucembursku, sídlící na adrese FIL (</w:t>
      </w:r>
      <w:proofErr w:type="spellStart"/>
      <w:r>
        <w:rPr>
          <w:color w:val="000000"/>
          <w:lang w:eastAsia="en-US"/>
        </w:rPr>
        <w:t>Luxembourg</w:t>
      </w:r>
      <w:proofErr w:type="spellEnd"/>
      <w:r>
        <w:rPr>
          <w:color w:val="000000"/>
          <w:lang w:eastAsia="en-US"/>
        </w:rPr>
        <w:t xml:space="preserve">) S.A. 2a, </w:t>
      </w:r>
      <w:proofErr w:type="spellStart"/>
      <w:r>
        <w:rPr>
          <w:color w:val="000000"/>
          <w:lang w:eastAsia="en-US"/>
        </w:rPr>
        <w:t>rue</w:t>
      </w:r>
      <w:proofErr w:type="spellEnd"/>
      <w:r>
        <w:rPr>
          <w:color w:val="000000"/>
          <w:lang w:eastAsia="en-US"/>
        </w:rPr>
        <w:t xml:space="preserve"> Albert </w:t>
      </w:r>
      <w:proofErr w:type="spellStart"/>
      <w:r>
        <w:rPr>
          <w:color w:val="000000"/>
          <w:lang w:eastAsia="en-US"/>
        </w:rPr>
        <w:t>Borschette</w:t>
      </w:r>
      <w:proofErr w:type="spellEnd"/>
      <w:r>
        <w:rPr>
          <w:color w:val="000000"/>
          <w:lang w:eastAsia="en-US"/>
        </w:rPr>
        <w:t xml:space="preserve"> BP 2174 L-1021 </w:t>
      </w:r>
      <w:proofErr w:type="spellStart"/>
      <w:r>
        <w:rPr>
          <w:color w:val="000000"/>
          <w:lang w:eastAsia="en-US"/>
        </w:rPr>
        <w:t>Luxembourg</w:t>
      </w:r>
      <w:proofErr w:type="spellEnd"/>
      <w:r>
        <w:rPr>
          <w:color w:val="000000"/>
          <w:lang w:eastAsia="en-US"/>
        </w:rPr>
        <w:t>.</w:t>
      </w:r>
    </w:p>
    <w:p w14:paraId="6EBDA300" w14:textId="25C81B6D" w:rsidR="00172511" w:rsidRPr="00617E2A" w:rsidRDefault="00172511" w:rsidP="00617E2A">
      <w:pPr>
        <w:pStyle w:val="Normlnweb"/>
        <w:shd w:val="clear" w:color="auto" w:fill="FFFFFF"/>
        <w:spacing w:before="0" w:after="240"/>
        <w:rPr>
          <w:color w:val="000000"/>
          <w:lang w:eastAsia="en-US"/>
        </w:rPr>
      </w:pPr>
      <w:r>
        <w:rPr>
          <w:color w:val="000000"/>
          <w:lang w:eastAsia="en-US"/>
        </w:rPr>
        <w:t xml:space="preserve">Fidelity </w:t>
      </w:r>
      <w:proofErr w:type="spellStart"/>
      <w:r>
        <w:rPr>
          <w:color w:val="000000"/>
          <w:lang w:eastAsia="en-US"/>
        </w:rPr>
        <w:t>Funds</w:t>
      </w:r>
      <w:proofErr w:type="spellEnd"/>
      <w:r>
        <w:rPr>
          <w:color w:val="000000"/>
          <w:lang w:eastAsia="en-US"/>
        </w:rPr>
        <w:t xml:space="preserve"> “FF” je otevřená investiční společnost (SKIPCP) sídlící v Lucembursku, která disponuje akciemi různých tříd. Společnost FIL </w:t>
      </w:r>
      <w:proofErr w:type="spellStart"/>
      <w:r>
        <w:rPr>
          <w:color w:val="000000"/>
          <w:lang w:eastAsia="en-US"/>
        </w:rPr>
        <w:t>Investment</w:t>
      </w:r>
      <w:proofErr w:type="spellEnd"/>
      <w:r>
        <w:rPr>
          <w:color w:val="000000"/>
          <w:lang w:eastAsia="en-US"/>
        </w:rPr>
        <w:t xml:space="preserve"> Management (</w:t>
      </w:r>
      <w:proofErr w:type="spellStart"/>
      <w:r>
        <w:rPr>
          <w:color w:val="000000"/>
          <w:lang w:eastAsia="en-US"/>
        </w:rPr>
        <w:t>Luxembourg</w:t>
      </w:r>
      <w:proofErr w:type="spellEnd"/>
      <w:r>
        <w:rPr>
          <w:color w:val="000000"/>
          <w:lang w:eastAsia="en-US"/>
        </w:rPr>
        <w:t xml:space="preserve">) S.A. si vyhrazuje právo ukončit nabízení podfondu a jeho podílových jednotek na trhu v souladu s článkem 93 písm. a) směrnice 2009/65/ES a článkem 32 písm. a) směrnice 2011/61/EU. Toto ukončení bude předem oznámeno v Lucembursku. </w:t>
      </w:r>
      <w:r w:rsidR="00617E2A" w:rsidRPr="00617E2A">
        <w:rPr>
          <w:color w:val="000000"/>
          <w:lang w:eastAsia="en-US"/>
        </w:rPr>
        <w:t>Držení se může lišit od podílů v kótovaném indexu. Z tohoto důvodu se srovnávací index používá pouze pro informaci.</w:t>
      </w:r>
      <w:r w:rsidR="00617E2A">
        <w:rPr>
          <w:color w:val="000000"/>
          <w:lang w:eastAsia="en-US"/>
        </w:rPr>
        <w:t xml:space="preserve"> </w:t>
      </w:r>
      <w:r>
        <w:rPr>
          <w:color w:val="000000"/>
          <w:lang w:eastAsia="en-US"/>
        </w:rPr>
        <w:t>Vydala společnost FIL (</w:t>
      </w:r>
      <w:proofErr w:type="spellStart"/>
      <w:r>
        <w:rPr>
          <w:color w:val="000000"/>
          <w:lang w:eastAsia="en-US"/>
        </w:rPr>
        <w:t>Luxembourg</w:t>
      </w:r>
      <w:proofErr w:type="spellEnd"/>
      <w:r>
        <w:rPr>
          <w:color w:val="000000"/>
          <w:lang w:eastAsia="en-US"/>
        </w:rPr>
        <w:t>) S.A., které bylo uděleno povolení a podléhá dohledu dozorčí komise CSSF (</w:t>
      </w:r>
      <w:proofErr w:type="spellStart"/>
      <w:r>
        <w:rPr>
          <w:color w:val="000000"/>
          <w:lang w:eastAsia="en-US"/>
        </w:rPr>
        <w:t>Commission</w:t>
      </w:r>
      <w:proofErr w:type="spellEnd"/>
      <w:r>
        <w:rPr>
          <w:color w:val="000000"/>
          <w:lang w:eastAsia="en-US"/>
        </w:rPr>
        <w:t xml:space="preserve"> de </w:t>
      </w:r>
      <w:proofErr w:type="spellStart"/>
      <w:r>
        <w:rPr>
          <w:color w:val="000000"/>
          <w:lang w:eastAsia="en-US"/>
        </w:rPr>
        <w:t>Surveillance</w:t>
      </w:r>
      <w:proofErr w:type="spellEnd"/>
      <w:r>
        <w:rPr>
          <w:color w:val="000000"/>
          <w:lang w:eastAsia="en-US"/>
        </w:rPr>
        <w:t xml:space="preserve"> </w:t>
      </w:r>
      <w:proofErr w:type="spellStart"/>
      <w:r>
        <w:rPr>
          <w:color w:val="000000"/>
          <w:lang w:eastAsia="en-US"/>
        </w:rPr>
        <w:t>du</w:t>
      </w:r>
      <w:proofErr w:type="spellEnd"/>
      <w:r>
        <w:rPr>
          <w:color w:val="000000"/>
          <w:lang w:eastAsia="en-US"/>
        </w:rPr>
        <w:t xml:space="preserve"> </w:t>
      </w:r>
      <w:proofErr w:type="spellStart"/>
      <w:r>
        <w:rPr>
          <w:color w:val="000000"/>
          <w:lang w:eastAsia="en-US"/>
        </w:rPr>
        <w:t>Secteur</w:t>
      </w:r>
      <w:proofErr w:type="spellEnd"/>
      <w:r>
        <w:rPr>
          <w:color w:val="000000"/>
          <w:lang w:eastAsia="en-US"/>
        </w:rPr>
        <w:t xml:space="preserve"> </w:t>
      </w:r>
      <w:proofErr w:type="spellStart"/>
      <w:r>
        <w:rPr>
          <w:color w:val="000000"/>
          <w:lang w:eastAsia="en-US"/>
        </w:rPr>
        <w:t>Financier</w:t>
      </w:r>
      <w:proofErr w:type="spellEnd"/>
      <w:r>
        <w:rPr>
          <w:color w:val="000000"/>
          <w:lang w:eastAsia="en-US"/>
        </w:rPr>
        <w:t xml:space="preserve">). </w:t>
      </w:r>
    </w:p>
    <w:p w14:paraId="7C2325E4" w14:textId="77777777" w:rsidR="00172511" w:rsidRDefault="00172511" w:rsidP="00172511">
      <w:pPr>
        <w:pStyle w:val="Normlnweb"/>
        <w:shd w:val="clear" w:color="auto" w:fill="FFFFFF"/>
        <w:spacing w:before="0"/>
        <w:rPr>
          <w:lang w:eastAsia="en-US"/>
        </w:rPr>
      </w:pPr>
      <w:r>
        <w:rPr>
          <w:color w:val="000000"/>
          <w:lang w:eastAsia="en-US"/>
        </w:rPr>
        <w:t xml:space="preserve">Investoři a potenciální investoři mohou získat informace o svých právech ve spojení se stížnostmi a soudními spory na tomto odkazu: </w:t>
      </w:r>
      <w:hyperlink r:id="rId12" w:history="1">
        <w:r>
          <w:rPr>
            <w:rStyle w:val="Hypertextovodkaz"/>
            <w:lang w:eastAsia="en-US"/>
          </w:rPr>
          <w:t>https://www.fidelity.cz</w:t>
        </w:r>
      </w:hyperlink>
      <w:r>
        <w:rPr>
          <w:color w:val="000000"/>
          <w:lang w:eastAsia="en-US"/>
        </w:rPr>
        <w:t xml:space="preserve"> (v češtině).</w:t>
      </w:r>
    </w:p>
    <w:p w14:paraId="6B71956F" w14:textId="77777777" w:rsidR="00172511" w:rsidRDefault="00172511" w:rsidP="00172511">
      <w:pPr>
        <w:rPr>
          <w:lang w:eastAsia="en-US"/>
        </w:rPr>
      </w:pPr>
    </w:p>
    <w:p w14:paraId="131D4607" w14:textId="607A9A2A" w:rsidR="00A7414F" w:rsidRPr="00534D3B" w:rsidRDefault="00534D3B" w:rsidP="00172511">
      <w:pPr>
        <w:pStyle w:val="FIL3Body"/>
        <w:jc w:val="both"/>
        <w:rPr>
          <w:rFonts w:cs="Arial"/>
          <w:color w:val="000000"/>
          <w:sz w:val="20"/>
          <w:szCs w:val="20"/>
          <w:lang w:val="cs-CZ" w:eastAsia="en-US"/>
        </w:rPr>
      </w:pPr>
      <w:r w:rsidRPr="00534D3B">
        <w:rPr>
          <w:rFonts w:cs="Arial"/>
          <w:color w:val="000000"/>
          <w:sz w:val="20"/>
          <w:szCs w:val="20"/>
          <w:lang w:val="cs-CZ" w:eastAsia="en-US"/>
        </w:rPr>
        <w:t>MKAT10</w:t>
      </w:r>
      <w:r w:rsidR="00781792">
        <w:rPr>
          <w:rFonts w:cs="Arial"/>
          <w:color w:val="000000"/>
          <w:sz w:val="20"/>
          <w:szCs w:val="20"/>
          <w:lang w:val="cs-CZ" w:eastAsia="en-US"/>
        </w:rPr>
        <w:t>410</w:t>
      </w:r>
    </w:p>
    <w:sectPr w:rsidR="00A7414F" w:rsidRPr="00534D3B"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7703" w14:textId="77777777" w:rsidR="004A52B6" w:rsidRDefault="004A52B6">
      <w:r>
        <w:separator/>
      </w:r>
    </w:p>
  </w:endnote>
  <w:endnote w:type="continuationSeparator" w:id="0">
    <w:p w14:paraId="49A75367" w14:textId="77777777" w:rsidR="004A52B6" w:rsidRDefault="004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3A0D" w14:textId="77777777" w:rsidR="004A52B6" w:rsidRDefault="004A52B6">
      <w:r>
        <w:separator/>
      </w:r>
    </w:p>
  </w:footnote>
  <w:footnote w:type="continuationSeparator" w:id="0">
    <w:p w14:paraId="5410CFEB" w14:textId="77777777" w:rsidR="004A52B6" w:rsidRDefault="004A52B6">
      <w:r>
        <w:continuationSeparator/>
      </w:r>
    </w:p>
  </w:footnote>
  <w:footnote w:type="continuationNotice" w:id="1">
    <w:p w14:paraId="7CFC1069" w14:textId="77777777" w:rsidR="004A52B6" w:rsidRDefault="004A5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 w:numId="4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27D"/>
    <w:rsid w:val="000C772F"/>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2BE9"/>
    <w:rsid w:val="001B353C"/>
    <w:rsid w:val="001B489F"/>
    <w:rsid w:val="001B69B7"/>
    <w:rsid w:val="001C5A91"/>
    <w:rsid w:val="001C5DB0"/>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DDA"/>
    <w:rsid w:val="0021765E"/>
    <w:rsid w:val="0021778F"/>
    <w:rsid w:val="00221EE4"/>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3679"/>
    <w:rsid w:val="00296721"/>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03102"/>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3E8F"/>
    <w:rsid w:val="00464475"/>
    <w:rsid w:val="004705A5"/>
    <w:rsid w:val="0047275D"/>
    <w:rsid w:val="00475575"/>
    <w:rsid w:val="00480C04"/>
    <w:rsid w:val="00480E25"/>
    <w:rsid w:val="004863EC"/>
    <w:rsid w:val="00487542"/>
    <w:rsid w:val="0049074E"/>
    <w:rsid w:val="004907F4"/>
    <w:rsid w:val="00493172"/>
    <w:rsid w:val="004955BB"/>
    <w:rsid w:val="004A0EA9"/>
    <w:rsid w:val="004A3C5B"/>
    <w:rsid w:val="004A461C"/>
    <w:rsid w:val="004A52B6"/>
    <w:rsid w:val="004B29BE"/>
    <w:rsid w:val="004B366C"/>
    <w:rsid w:val="004B4063"/>
    <w:rsid w:val="004B4F84"/>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4D3B"/>
    <w:rsid w:val="005351B3"/>
    <w:rsid w:val="005437B4"/>
    <w:rsid w:val="0054471F"/>
    <w:rsid w:val="005459F5"/>
    <w:rsid w:val="00545B68"/>
    <w:rsid w:val="00546CB9"/>
    <w:rsid w:val="00546DF7"/>
    <w:rsid w:val="0055121B"/>
    <w:rsid w:val="00552B6E"/>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0735"/>
    <w:rsid w:val="005D37B5"/>
    <w:rsid w:val="005D49F1"/>
    <w:rsid w:val="005D5B6F"/>
    <w:rsid w:val="005D72C2"/>
    <w:rsid w:val="005D7C68"/>
    <w:rsid w:val="005E1A38"/>
    <w:rsid w:val="005E2179"/>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04AE"/>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043C"/>
    <w:rsid w:val="007046FB"/>
    <w:rsid w:val="00705A61"/>
    <w:rsid w:val="007109F6"/>
    <w:rsid w:val="00715F45"/>
    <w:rsid w:val="00716604"/>
    <w:rsid w:val="0071719A"/>
    <w:rsid w:val="0071726D"/>
    <w:rsid w:val="007176A7"/>
    <w:rsid w:val="007204B4"/>
    <w:rsid w:val="00720781"/>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5577"/>
    <w:rsid w:val="00756B91"/>
    <w:rsid w:val="00771D19"/>
    <w:rsid w:val="00774584"/>
    <w:rsid w:val="007747BE"/>
    <w:rsid w:val="00781625"/>
    <w:rsid w:val="00781792"/>
    <w:rsid w:val="00782512"/>
    <w:rsid w:val="00785A6D"/>
    <w:rsid w:val="00792CC3"/>
    <w:rsid w:val="007947C6"/>
    <w:rsid w:val="00794CF3"/>
    <w:rsid w:val="00794E4C"/>
    <w:rsid w:val="007A0160"/>
    <w:rsid w:val="007A40C6"/>
    <w:rsid w:val="007A4F20"/>
    <w:rsid w:val="007A6AA0"/>
    <w:rsid w:val="007A6B19"/>
    <w:rsid w:val="007B3045"/>
    <w:rsid w:val="007B49DF"/>
    <w:rsid w:val="007B5296"/>
    <w:rsid w:val="007B655B"/>
    <w:rsid w:val="007B67AD"/>
    <w:rsid w:val="007B7639"/>
    <w:rsid w:val="007C00BA"/>
    <w:rsid w:val="007C18F2"/>
    <w:rsid w:val="007C1AC1"/>
    <w:rsid w:val="007C1FEC"/>
    <w:rsid w:val="007C46D1"/>
    <w:rsid w:val="007C5731"/>
    <w:rsid w:val="007E0A4B"/>
    <w:rsid w:val="007E326A"/>
    <w:rsid w:val="007F1637"/>
    <w:rsid w:val="007F1B11"/>
    <w:rsid w:val="007F4ABD"/>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1E99"/>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2E55"/>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1B17"/>
    <w:rsid w:val="00B04103"/>
    <w:rsid w:val="00B047E9"/>
    <w:rsid w:val="00B05867"/>
    <w:rsid w:val="00B10EC0"/>
    <w:rsid w:val="00B123FF"/>
    <w:rsid w:val="00B134B6"/>
    <w:rsid w:val="00B142F4"/>
    <w:rsid w:val="00B17E1E"/>
    <w:rsid w:val="00B21C56"/>
    <w:rsid w:val="00B24AE7"/>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1F91"/>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34F6"/>
    <w:rsid w:val="00BC4EF0"/>
    <w:rsid w:val="00BC6E99"/>
    <w:rsid w:val="00BC7C00"/>
    <w:rsid w:val="00BD1EFB"/>
    <w:rsid w:val="00BD223A"/>
    <w:rsid w:val="00BD57C8"/>
    <w:rsid w:val="00BD5879"/>
    <w:rsid w:val="00BD5A0C"/>
    <w:rsid w:val="00BD5B58"/>
    <w:rsid w:val="00BE0E15"/>
    <w:rsid w:val="00BE3D8C"/>
    <w:rsid w:val="00BE5CF2"/>
    <w:rsid w:val="00BE72E5"/>
    <w:rsid w:val="00BF067E"/>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1D5F"/>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4D5"/>
    <w:rsid w:val="00D40A73"/>
    <w:rsid w:val="00D40EA0"/>
    <w:rsid w:val="00D4392D"/>
    <w:rsid w:val="00D45F62"/>
    <w:rsid w:val="00D513E0"/>
    <w:rsid w:val="00D5168F"/>
    <w:rsid w:val="00D524BC"/>
    <w:rsid w:val="00D546FB"/>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E5661"/>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91D8A"/>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deli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elityinternation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E820-4CA7-413D-8B7D-693E8E27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6568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7666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Eliška Krohová</cp:lastModifiedBy>
  <cp:revision>2</cp:revision>
  <cp:lastPrinted>2015-11-30T16:29:00Z</cp:lastPrinted>
  <dcterms:created xsi:type="dcterms:W3CDTF">2022-02-23T10:25:00Z</dcterms:created>
  <dcterms:modified xsi:type="dcterms:W3CDTF">2022-02-23T10:25:00Z</dcterms:modified>
</cp:coreProperties>
</file>